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34F3" w:rsidRPr="00C834F3" w:rsidRDefault="00C834F3" w:rsidP="00C834F3">
      <w:pPr>
        <w:spacing w:before="240" w:after="240"/>
        <w:jc w:val="center"/>
        <w:rPr>
          <w:color w:val="000000" w:themeColor="text1"/>
          <w:sz w:val="22"/>
          <w:szCs w:val="22"/>
        </w:rPr>
      </w:pPr>
    </w:p>
    <w:p w:rsidR="00C834F3" w:rsidRPr="00C834F3" w:rsidRDefault="00C834F3" w:rsidP="00C834F3">
      <w:pPr>
        <w:spacing w:before="240" w:after="240"/>
        <w:jc w:val="center"/>
        <w:rPr>
          <w:color w:val="000000" w:themeColor="text1"/>
          <w:sz w:val="48"/>
          <w:szCs w:val="48"/>
        </w:rPr>
      </w:pPr>
      <w:r w:rsidRPr="00C834F3">
        <w:rPr>
          <w:color w:val="000000" w:themeColor="text1"/>
          <w:sz w:val="48"/>
          <w:szCs w:val="48"/>
        </w:rPr>
        <w:t>Brian Bowen</w:t>
      </w:r>
    </w:p>
    <w:p w:rsidR="00C834F3" w:rsidRPr="00C834F3" w:rsidRDefault="00C834F3" w:rsidP="00C834F3">
      <w:pPr>
        <w:jc w:val="center"/>
        <w:rPr>
          <w:sz w:val="28"/>
          <w:szCs w:val="28"/>
        </w:rPr>
      </w:pPr>
      <w:r w:rsidRPr="00C834F3">
        <w:rPr>
          <w:sz w:val="28"/>
          <w:szCs w:val="28"/>
        </w:rPr>
        <w:t xml:space="preserve">Professor of Practice, School of Building Construction, </w:t>
      </w:r>
    </w:p>
    <w:p w:rsidR="00C834F3" w:rsidRPr="00C834F3" w:rsidRDefault="00C834F3" w:rsidP="00C834F3">
      <w:pPr>
        <w:jc w:val="center"/>
        <w:rPr>
          <w:sz w:val="28"/>
          <w:szCs w:val="28"/>
        </w:rPr>
      </w:pPr>
      <w:r w:rsidRPr="00C834F3">
        <w:rPr>
          <w:sz w:val="28"/>
          <w:szCs w:val="28"/>
        </w:rPr>
        <w:t>Georgia Institute of Technology, Atlanta</w:t>
      </w:r>
    </w:p>
    <w:p w:rsidR="00C834F3" w:rsidRPr="00C834F3" w:rsidRDefault="00C834F3" w:rsidP="00C834F3">
      <w:pPr>
        <w:jc w:val="center"/>
        <w:rPr>
          <w:sz w:val="22"/>
          <w:szCs w:val="22"/>
        </w:rPr>
      </w:pPr>
    </w:p>
    <w:p w:rsidR="00C834F3" w:rsidRPr="00C834F3" w:rsidRDefault="00C834F3" w:rsidP="00C834F3">
      <w:pPr>
        <w:spacing w:before="240" w:after="240"/>
        <w:jc w:val="center"/>
        <w:rPr>
          <w:i/>
          <w:iCs/>
          <w:color w:val="000000" w:themeColor="text1"/>
          <w:sz w:val="36"/>
          <w:szCs w:val="36"/>
        </w:rPr>
      </w:pPr>
      <w:r w:rsidRPr="00C834F3">
        <w:rPr>
          <w:i/>
          <w:iCs/>
          <w:color w:val="000000" w:themeColor="text1"/>
          <w:sz w:val="36"/>
          <w:szCs w:val="36"/>
        </w:rPr>
        <w:t>Quaranta Giorni</w:t>
      </w:r>
    </w:p>
    <w:p w:rsidR="00C834F3" w:rsidRDefault="00C834F3" w:rsidP="00C834F3">
      <w:pPr>
        <w:spacing w:before="240" w:after="240"/>
        <w:jc w:val="center"/>
        <w:rPr>
          <w:i/>
          <w:iCs/>
          <w:color w:val="000000" w:themeColor="text1"/>
          <w:sz w:val="36"/>
          <w:szCs w:val="36"/>
        </w:rPr>
      </w:pPr>
      <w:r w:rsidRPr="00C834F3">
        <w:rPr>
          <w:i/>
          <w:iCs/>
          <w:color w:val="000000" w:themeColor="text1"/>
          <w:sz w:val="36"/>
          <w:szCs w:val="36"/>
        </w:rPr>
        <w:t xml:space="preserve"> The Bubonic Plague in 14</w:t>
      </w:r>
      <w:r w:rsidRPr="00C834F3">
        <w:rPr>
          <w:i/>
          <w:iCs/>
          <w:color w:val="000000" w:themeColor="text1"/>
          <w:sz w:val="36"/>
          <w:szCs w:val="36"/>
          <w:vertAlign w:val="superscript"/>
        </w:rPr>
        <w:t>th</w:t>
      </w:r>
      <w:r w:rsidRPr="00C834F3">
        <w:rPr>
          <w:i/>
          <w:iCs/>
          <w:color w:val="000000" w:themeColor="text1"/>
          <w:sz w:val="36"/>
          <w:szCs w:val="36"/>
        </w:rPr>
        <w:t xml:space="preserve"> C. Europe </w:t>
      </w:r>
    </w:p>
    <w:p w:rsidR="00C834F3" w:rsidRPr="00C834F3" w:rsidRDefault="00C834F3" w:rsidP="00C834F3">
      <w:pPr>
        <w:spacing w:before="240" w:after="240"/>
        <w:jc w:val="center"/>
        <w:rPr>
          <w:i/>
          <w:iCs/>
          <w:color w:val="000000" w:themeColor="text1"/>
          <w:sz w:val="36"/>
          <w:szCs w:val="36"/>
        </w:rPr>
      </w:pPr>
      <w:r w:rsidRPr="00C834F3">
        <w:rPr>
          <w:i/>
          <w:iCs/>
          <w:color w:val="000000" w:themeColor="text1"/>
          <w:sz w:val="36"/>
          <w:szCs w:val="36"/>
        </w:rPr>
        <w:t>&amp; its Effect on</w:t>
      </w:r>
      <w:r>
        <w:rPr>
          <w:i/>
          <w:iCs/>
          <w:color w:val="000000" w:themeColor="text1"/>
          <w:sz w:val="36"/>
          <w:szCs w:val="36"/>
        </w:rPr>
        <w:t xml:space="preserve"> </w:t>
      </w:r>
      <w:r w:rsidRPr="00C834F3">
        <w:rPr>
          <w:i/>
          <w:iCs/>
          <w:color w:val="000000" w:themeColor="text1"/>
          <w:sz w:val="36"/>
          <w:szCs w:val="36"/>
        </w:rPr>
        <w:t>Construction</w:t>
      </w:r>
    </w:p>
    <w:p w:rsidR="00C834F3" w:rsidRPr="00C834F3" w:rsidRDefault="00C834F3" w:rsidP="00C834F3">
      <w:pPr>
        <w:jc w:val="center"/>
        <w:rPr>
          <w:bCs/>
          <w:sz w:val="28"/>
          <w:szCs w:val="28"/>
        </w:rPr>
      </w:pPr>
    </w:p>
    <w:p w:rsidR="00C834F3" w:rsidRPr="00C834F3" w:rsidRDefault="00C834F3" w:rsidP="00C834F3">
      <w:pPr>
        <w:jc w:val="center"/>
        <w:rPr>
          <w:sz w:val="28"/>
          <w:szCs w:val="28"/>
        </w:rPr>
      </w:pPr>
      <w:r w:rsidRPr="00C834F3">
        <w:rPr>
          <w:sz w:val="28"/>
          <w:szCs w:val="28"/>
        </w:rPr>
        <w:t>Brian Bowen retired as president of Hanscomb Inc. in 2000 after serving for 40 years with the company in England, Canada and the United States.  From 2000 he supported the College of Architecture’s continuing education program in developing courses focused on practice and business management for design and contracting companies. In 2006 he became the College’s first Professor of Practice. He teaches courses on the Construction Industry – its Past, Present &amp; Future and on Advanced Construction Cost Management. Recently he developed a distance learning course on Construction History for the University of Minnesota.  In 2007 with assistance from Georgia Tech he formed the Construction History Society of America and is now its Chairman Emeritus. His particular research interests cover the evolution of the American construction industry and the factors that have contributed to change over its history.</w:t>
      </w:r>
    </w:p>
    <w:p w:rsidR="00D0319F" w:rsidRDefault="00355E18"/>
    <w:sectPr w:rsidR="00D0319F" w:rsidSect="00B84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F3"/>
    <w:rsid w:val="00355E18"/>
    <w:rsid w:val="005C7F9B"/>
    <w:rsid w:val="00B84A02"/>
    <w:rsid w:val="00C8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7B426D7-793A-3343-BDF1-CFBB5314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4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Feerst</dc:creator>
  <cp:keywords/>
  <dc:description/>
  <cp:lastModifiedBy>Melanie Feerst</cp:lastModifiedBy>
  <cp:revision>2</cp:revision>
  <dcterms:created xsi:type="dcterms:W3CDTF">2020-05-13T17:30:00Z</dcterms:created>
  <dcterms:modified xsi:type="dcterms:W3CDTF">2020-05-13T17:39:00Z</dcterms:modified>
</cp:coreProperties>
</file>